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color w:val="auto"/>
          <w:sz w:val="44"/>
          <w:szCs w:val="44"/>
          <w:highlight w:val="none"/>
        </w:rPr>
      </w:pPr>
    </w:p>
    <w:p>
      <w:pPr>
        <w:jc w:val="both"/>
        <w:rPr>
          <w:rFonts w:hint="eastAsia"/>
          <w:color w:val="auto"/>
          <w:sz w:val="44"/>
          <w:szCs w:val="44"/>
          <w:highlight w:val="none"/>
          <w:u w:val="none"/>
          <w:lang w:val="en-US" w:eastAsia="zh-CN"/>
        </w:rPr>
      </w:pPr>
      <w:r>
        <w:rPr>
          <w:rFonts w:hint="eastAsia"/>
          <w:color w:val="auto"/>
          <w:sz w:val="44"/>
          <w:szCs w:val="44"/>
          <w:highlight w:val="none"/>
          <w:u w:val="none"/>
          <w:lang w:val="en-US" w:eastAsia="zh-CN"/>
        </w:rPr>
        <w:t>项目名称：</w:t>
      </w:r>
    </w:p>
    <w:p>
      <w:pPr>
        <w:jc w:val="center"/>
        <w:rPr>
          <w:rFonts w:hint="eastAsia"/>
          <w:color w:val="auto"/>
          <w:sz w:val="44"/>
          <w:szCs w:val="44"/>
          <w:highlight w:val="none"/>
          <w:u w:val="none"/>
          <w:lang w:val="en-US" w:eastAsia="zh-CN"/>
        </w:rPr>
      </w:pPr>
    </w:p>
    <w:p>
      <w:pPr>
        <w:jc w:val="center"/>
        <w:rPr>
          <w:rFonts w:hint="eastAsia"/>
          <w:color w:val="auto"/>
          <w:sz w:val="44"/>
          <w:szCs w:val="44"/>
          <w:highlight w:val="none"/>
          <w:u w:val="none"/>
          <w:lang w:val="en-US" w:eastAsia="zh-CN"/>
        </w:rPr>
      </w:pPr>
      <w:r>
        <w:rPr>
          <w:rFonts w:hint="eastAsia"/>
          <w:color w:val="auto"/>
          <w:sz w:val="44"/>
          <w:szCs w:val="44"/>
          <w:highlight w:val="none"/>
          <w:u w:val="none"/>
          <w:lang w:val="en-US" w:eastAsia="zh-CN"/>
        </w:rPr>
        <w:t>涡北煤矿主井主提升钢丝绳招标</w:t>
      </w:r>
    </w:p>
    <w:p>
      <w:pPr>
        <w:jc w:val="center"/>
        <w:rPr>
          <w:rFonts w:hint="eastAsia"/>
          <w:color w:val="auto"/>
          <w:sz w:val="44"/>
          <w:szCs w:val="44"/>
          <w:highlight w:val="none"/>
          <w:u w:val="none"/>
          <w:lang w:val="en-US" w:eastAsia="zh-CN"/>
        </w:rPr>
      </w:pPr>
      <w:r>
        <w:rPr>
          <w:rFonts w:hint="eastAsia"/>
          <w:color w:val="auto"/>
          <w:sz w:val="44"/>
          <w:szCs w:val="44"/>
          <w:highlight w:val="none"/>
          <w:u w:val="none"/>
          <w:lang w:val="en-US" w:eastAsia="zh-CN"/>
        </w:rPr>
        <w:t>技术规格书</w:t>
      </w:r>
    </w:p>
    <w:p>
      <w:pPr>
        <w:jc w:val="center"/>
        <w:rPr>
          <w:rFonts w:hint="eastAsia" w:ascii="宋体" w:hAnsi="宋体"/>
          <w:b/>
          <w:color w:val="auto"/>
          <w:sz w:val="44"/>
          <w:szCs w:val="44"/>
          <w:highlight w:val="none"/>
        </w:rPr>
      </w:pPr>
    </w:p>
    <w:p>
      <w:pPr>
        <w:jc w:val="center"/>
        <w:rPr>
          <w:rFonts w:hint="eastAsia" w:ascii="宋体" w:hAnsi="宋体"/>
          <w:b/>
          <w:color w:val="auto"/>
          <w:sz w:val="44"/>
          <w:szCs w:val="44"/>
          <w:highlight w:val="none"/>
        </w:rPr>
      </w:pPr>
    </w:p>
    <w:p>
      <w:pPr>
        <w:jc w:val="center"/>
        <w:rPr>
          <w:rFonts w:hint="eastAsia" w:ascii="宋体" w:hAnsi="宋体"/>
          <w:b/>
          <w:color w:val="auto"/>
          <w:sz w:val="44"/>
          <w:szCs w:val="44"/>
          <w:highlight w:val="none"/>
        </w:rPr>
      </w:pPr>
    </w:p>
    <w:p>
      <w:pPr>
        <w:rPr>
          <w:color w:val="auto"/>
          <w:sz w:val="44"/>
          <w:szCs w:val="44"/>
          <w:highlight w:val="none"/>
        </w:rPr>
      </w:pPr>
    </w:p>
    <w:p>
      <w:pPr>
        <w:rPr>
          <w:color w:val="auto"/>
          <w:sz w:val="44"/>
          <w:szCs w:val="44"/>
          <w:highlight w:val="none"/>
        </w:rPr>
      </w:pPr>
    </w:p>
    <w:p>
      <w:pPr>
        <w:rPr>
          <w:color w:val="auto"/>
          <w:sz w:val="44"/>
          <w:szCs w:val="44"/>
          <w:highlight w:val="none"/>
        </w:rPr>
      </w:pPr>
    </w:p>
    <w:p>
      <w:pPr>
        <w:rPr>
          <w:color w:val="auto"/>
          <w:sz w:val="44"/>
          <w:szCs w:val="44"/>
          <w:highlight w:val="none"/>
        </w:rPr>
      </w:pPr>
    </w:p>
    <w:p>
      <w:pPr>
        <w:rPr>
          <w:color w:val="auto"/>
          <w:sz w:val="44"/>
          <w:szCs w:val="44"/>
          <w:highlight w:val="none"/>
        </w:rPr>
      </w:pPr>
    </w:p>
    <w:p>
      <w:pPr>
        <w:rPr>
          <w:color w:val="auto"/>
          <w:sz w:val="44"/>
          <w:szCs w:val="44"/>
          <w:highlight w:val="none"/>
        </w:rPr>
      </w:pPr>
    </w:p>
    <w:p>
      <w:pPr>
        <w:rPr>
          <w:color w:val="auto"/>
          <w:sz w:val="44"/>
          <w:szCs w:val="44"/>
          <w:highlight w:val="none"/>
        </w:rPr>
      </w:pPr>
    </w:p>
    <w:p>
      <w:pPr>
        <w:rPr>
          <w:color w:val="auto"/>
          <w:sz w:val="44"/>
          <w:szCs w:val="44"/>
          <w:highlight w:val="none"/>
        </w:rPr>
      </w:pPr>
    </w:p>
    <w:p>
      <w:pPr>
        <w:rPr>
          <w:rFonts w:hint="eastAsia"/>
          <w:color w:val="auto"/>
          <w:sz w:val="32"/>
          <w:szCs w:val="32"/>
          <w:highlight w:val="none"/>
          <w:u w:val="single"/>
        </w:rPr>
      </w:pPr>
      <w:r>
        <w:rPr>
          <w:rFonts w:hint="eastAsia"/>
          <w:color w:val="auto"/>
          <w:sz w:val="32"/>
          <w:szCs w:val="32"/>
          <w:highlight w:val="none"/>
        </w:rPr>
        <w:t>编制：</w:t>
      </w:r>
      <w:r>
        <w:rPr>
          <w:rFonts w:hint="eastAsia"/>
          <w:color w:val="auto"/>
          <w:sz w:val="32"/>
          <w:szCs w:val="32"/>
          <w:highlight w:val="none"/>
          <w:u w:val="single"/>
        </w:rPr>
        <w:t xml:space="preserve">          </w:t>
      </w:r>
      <w:r>
        <w:rPr>
          <w:rFonts w:hint="eastAsia"/>
          <w:color w:val="auto"/>
          <w:sz w:val="32"/>
          <w:szCs w:val="32"/>
          <w:highlight w:val="none"/>
        </w:rPr>
        <w:t xml:space="preserve">  校对：</w:t>
      </w:r>
      <w:r>
        <w:rPr>
          <w:rFonts w:hint="eastAsia"/>
          <w:color w:val="auto"/>
          <w:sz w:val="32"/>
          <w:szCs w:val="32"/>
          <w:highlight w:val="none"/>
          <w:u w:val="single"/>
        </w:rPr>
        <w:t xml:space="preserve">          </w:t>
      </w:r>
      <w:r>
        <w:rPr>
          <w:rFonts w:hint="eastAsia"/>
          <w:color w:val="auto"/>
          <w:sz w:val="32"/>
          <w:szCs w:val="32"/>
          <w:highlight w:val="none"/>
        </w:rPr>
        <w:t xml:space="preserve">  审批：</w:t>
      </w:r>
      <w:r>
        <w:rPr>
          <w:rFonts w:hint="eastAsia"/>
          <w:color w:val="auto"/>
          <w:sz w:val="32"/>
          <w:szCs w:val="32"/>
          <w:highlight w:val="none"/>
          <w:u w:val="single"/>
        </w:rPr>
        <w:t xml:space="preserve">         </w:t>
      </w:r>
    </w:p>
    <w:p>
      <w:pPr>
        <w:jc w:val="center"/>
        <w:rPr>
          <w:rFonts w:hint="eastAsia"/>
          <w:color w:val="auto"/>
          <w:sz w:val="32"/>
          <w:szCs w:val="32"/>
          <w:highlight w:val="none"/>
        </w:rPr>
      </w:pPr>
    </w:p>
    <w:p>
      <w:pPr>
        <w:spacing w:line="560" w:lineRule="exact"/>
        <w:jc w:val="center"/>
        <w:rPr>
          <w:rFonts w:hint="eastAsia" w:ascii="黑体" w:hAnsi="黑体" w:eastAsia="黑体"/>
          <w:color w:val="auto"/>
          <w:sz w:val="36"/>
          <w:szCs w:val="36"/>
          <w:highlight w:val="none"/>
          <w:lang w:eastAsia="zh-CN"/>
        </w:rPr>
        <w:sectPr>
          <w:pgSz w:w="11906" w:h="16838"/>
          <w:pgMar w:top="1440" w:right="1800" w:bottom="1440" w:left="1800" w:header="851" w:footer="992" w:gutter="0"/>
          <w:cols w:space="425" w:num="1"/>
          <w:docGrid w:type="lines" w:linePitch="312" w:charSpace="0"/>
        </w:sectPr>
      </w:pPr>
      <w:r>
        <w:rPr>
          <w:rFonts w:hint="eastAsia"/>
          <w:color w:val="auto"/>
          <w:sz w:val="32"/>
          <w:szCs w:val="32"/>
          <w:highlight w:val="none"/>
        </w:rPr>
        <w:t>单位（盖章）：淮北矿业股份有限</w:t>
      </w:r>
      <w:r>
        <w:rPr>
          <w:rFonts w:hint="eastAsia" w:ascii="Times New Roman" w:hAnsi="Times New Roman" w:cs="Times New Roman"/>
          <w:color w:val="auto"/>
          <w:sz w:val="32"/>
          <w:szCs w:val="32"/>
          <w:highlight w:val="none"/>
        </w:rPr>
        <w:t>公司</w:t>
      </w:r>
      <w:r>
        <w:rPr>
          <w:rFonts w:hint="eastAsia" w:ascii="Times New Roman" w:hAnsi="Times New Roman" w:cs="Times New Roman"/>
          <w:color w:val="auto"/>
          <w:sz w:val="32"/>
          <w:szCs w:val="32"/>
          <w:highlight w:val="none"/>
          <w:lang w:val="en-US" w:eastAsia="zh-CN"/>
        </w:rPr>
        <w:t>涡北</w:t>
      </w:r>
      <w:r>
        <w:rPr>
          <w:rFonts w:hint="eastAsia" w:ascii="Times New Roman" w:hAnsi="Times New Roman" w:cs="Times New Roman"/>
          <w:color w:val="auto"/>
          <w:sz w:val="32"/>
          <w:szCs w:val="32"/>
          <w:highlight w:val="none"/>
        </w:rPr>
        <w:t>煤矿</w:t>
      </w:r>
    </w:p>
    <w:p>
      <w:pPr>
        <w:jc w:val="center"/>
        <w:rPr>
          <w:rFonts w:hint="eastAsia" w:ascii="黑体" w:hAnsi="黑体" w:eastAsia="黑体"/>
          <w:color w:val="auto"/>
          <w:sz w:val="36"/>
          <w:szCs w:val="36"/>
          <w:highlight w:val="none"/>
          <w:lang w:val="en-US" w:eastAsia="zh-CN"/>
        </w:rPr>
      </w:pPr>
      <w:r>
        <w:rPr>
          <w:rFonts w:hint="eastAsia" w:ascii="黑体" w:hAnsi="黑体" w:eastAsia="黑体"/>
          <w:color w:val="auto"/>
          <w:sz w:val="36"/>
          <w:szCs w:val="36"/>
          <w:highlight w:val="none"/>
          <w:lang w:val="en-US" w:eastAsia="zh-CN"/>
        </w:rPr>
        <w:t>涡北</w:t>
      </w:r>
      <w:r>
        <w:rPr>
          <w:rFonts w:hint="eastAsia" w:ascii="黑体" w:hAnsi="黑体" w:eastAsia="黑体"/>
          <w:color w:val="auto"/>
          <w:sz w:val="36"/>
          <w:szCs w:val="36"/>
          <w:highlight w:val="none"/>
        </w:rPr>
        <w:t>煤</w:t>
      </w:r>
      <w:r>
        <w:rPr>
          <w:rFonts w:hint="eastAsia" w:ascii="黑体" w:hAnsi="黑体" w:eastAsia="黑体"/>
          <w:color w:val="auto"/>
          <w:sz w:val="36"/>
          <w:szCs w:val="36"/>
          <w:highlight w:val="none"/>
          <w:lang w:eastAsia="zh-CN"/>
        </w:rPr>
        <w:t>矿</w:t>
      </w:r>
      <w:r>
        <w:rPr>
          <w:rFonts w:hint="eastAsia" w:ascii="黑体" w:hAnsi="黑体" w:eastAsia="黑体"/>
          <w:color w:val="auto"/>
          <w:sz w:val="36"/>
          <w:szCs w:val="36"/>
          <w:highlight w:val="none"/>
          <w:lang w:val="en-US" w:eastAsia="zh-CN"/>
        </w:rPr>
        <w:t>主</w:t>
      </w:r>
      <w:r>
        <w:rPr>
          <w:rFonts w:hint="eastAsia" w:ascii="黑体" w:hAnsi="黑体" w:eastAsia="黑体"/>
          <w:color w:val="auto"/>
          <w:sz w:val="36"/>
          <w:szCs w:val="36"/>
          <w:highlight w:val="none"/>
          <w:lang w:eastAsia="zh-CN"/>
        </w:rPr>
        <w:t>井</w:t>
      </w:r>
      <w:r>
        <w:rPr>
          <w:rFonts w:hint="eastAsia" w:ascii="黑体" w:hAnsi="黑体" w:eastAsia="黑体"/>
          <w:color w:val="auto"/>
          <w:sz w:val="36"/>
          <w:szCs w:val="36"/>
          <w:highlight w:val="none"/>
          <w:lang w:val="en-US" w:eastAsia="zh-CN"/>
        </w:rPr>
        <w:t>主</w:t>
      </w:r>
      <w:r>
        <w:rPr>
          <w:rFonts w:hint="eastAsia" w:ascii="黑体" w:hAnsi="黑体" w:eastAsia="黑体"/>
          <w:color w:val="auto"/>
          <w:sz w:val="36"/>
          <w:szCs w:val="36"/>
          <w:highlight w:val="none"/>
        </w:rPr>
        <w:t>提升钢丝绳</w:t>
      </w:r>
      <w:r>
        <w:rPr>
          <w:rFonts w:hint="eastAsia" w:ascii="黑体" w:hAnsi="黑体" w:eastAsia="黑体"/>
          <w:color w:val="auto"/>
          <w:sz w:val="36"/>
          <w:szCs w:val="36"/>
          <w:highlight w:val="none"/>
          <w:lang w:val="en-US" w:eastAsia="zh-CN"/>
        </w:rPr>
        <w:t>招标</w:t>
      </w:r>
    </w:p>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技术规格书</w:t>
      </w:r>
    </w:p>
    <w:p>
      <w:pPr>
        <w:jc w:val="center"/>
        <w:rPr>
          <w:rFonts w:hint="eastAsia" w:ascii="黑体" w:hAnsi="黑体" w:eastAsia="黑体"/>
          <w:color w:val="auto"/>
          <w:sz w:val="36"/>
          <w:szCs w:val="36"/>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一、项目概况及招标范围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1.项目概况：镀锌三角股钢丝绳，</w:t>
      </w:r>
      <w:r>
        <w:rPr>
          <w:rFonts w:hint="eastAsia" w:ascii="仿宋_GB2312" w:hAnsi="宋体" w:eastAsia="仿宋_GB2312" w:cs="仿宋_GB2312"/>
          <w:sz w:val="32"/>
          <w:szCs w:val="32"/>
          <w:highlight w:val="none"/>
        </w:rPr>
        <w:t>淮北矿业</w:t>
      </w:r>
      <w:r>
        <w:rPr>
          <w:rFonts w:hint="eastAsia" w:ascii="仿宋_GB2312" w:hAnsi="宋体" w:eastAsia="仿宋_GB2312" w:cs="仿宋_GB2312"/>
          <w:sz w:val="32"/>
          <w:szCs w:val="32"/>
          <w:highlight w:val="none"/>
          <w:lang w:val="en-US" w:eastAsia="zh-CN"/>
        </w:rPr>
        <w:t>股份有限公司</w:t>
      </w:r>
      <w:r>
        <w:rPr>
          <w:rFonts w:hint="eastAsia" w:ascii="仿宋_GB2312" w:hAnsi="宋体" w:eastAsia="仿宋_GB2312" w:cs="仿宋_GB2312"/>
          <w:color w:val="auto"/>
          <w:sz w:val="32"/>
          <w:szCs w:val="32"/>
          <w:highlight w:val="none"/>
          <w:lang w:val="en-US" w:eastAsia="zh-CN"/>
        </w:rPr>
        <w:t>涡北</w:t>
      </w:r>
      <w:r>
        <w:rPr>
          <w:rFonts w:hint="eastAsia" w:ascii="仿宋_GB2312" w:hAnsi="宋体" w:eastAsia="仿宋_GB2312" w:cs="仿宋_GB2312"/>
          <w:color w:val="auto"/>
          <w:sz w:val="32"/>
          <w:szCs w:val="32"/>
          <w:highlight w:val="none"/>
        </w:rPr>
        <w:t>煤矿</w:t>
      </w:r>
      <w:r>
        <w:rPr>
          <w:rFonts w:hint="eastAsia" w:ascii="仿宋_GB2312" w:hAnsi="宋体" w:eastAsia="仿宋_GB2312" w:cs="仿宋_GB2312"/>
          <w:color w:val="auto"/>
          <w:sz w:val="32"/>
          <w:szCs w:val="32"/>
          <w:highlight w:val="none"/>
          <w:lang w:val="en-US" w:eastAsia="zh-CN"/>
        </w:rPr>
        <w:t>主</w:t>
      </w:r>
      <w:r>
        <w:rPr>
          <w:rFonts w:hint="eastAsia" w:ascii="仿宋_GB2312" w:hAnsi="宋体" w:eastAsia="仿宋_GB2312" w:cs="仿宋_GB2312"/>
          <w:color w:val="auto"/>
          <w:sz w:val="32"/>
          <w:szCs w:val="32"/>
          <w:highlight w:val="none"/>
        </w:rPr>
        <w:t>井提升</w:t>
      </w:r>
      <w:r>
        <w:rPr>
          <w:rFonts w:hint="eastAsia" w:ascii="仿宋_GB2312" w:hAnsi="宋体" w:eastAsia="仿宋_GB2312" w:cs="仿宋_GB2312"/>
          <w:color w:val="auto"/>
          <w:sz w:val="32"/>
          <w:szCs w:val="32"/>
          <w:highlight w:val="none"/>
          <w:lang w:val="en-US" w:eastAsia="zh-CN"/>
        </w:rPr>
        <w:t>系统</w:t>
      </w:r>
      <w:r>
        <w:rPr>
          <w:rFonts w:hint="eastAsia" w:ascii="仿宋_GB2312" w:hAnsi="宋体" w:eastAsia="仿宋_GB2312" w:cs="仿宋_GB2312"/>
          <w:color w:val="auto"/>
          <w:sz w:val="32"/>
          <w:szCs w:val="32"/>
          <w:highlight w:val="none"/>
        </w:rPr>
        <w:t>使用，提升类型为多绳摩擦式</w:t>
      </w:r>
      <w:r>
        <w:rPr>
          <w:rFonts w:hint="eastAsia" w:ascii="仿宋_GB2312" w:hAnsi="宋体" w:eastAsia="仿宋_GB2312" w:cs="仿宋_GB2312"/>
          <w:color w:val="auto"/>
          <w:sz w:val="32"/>
          <w:szCs w:val="32"/>
          <w:highlight w:val="none"/>
          <w:lang w:val="en-US" w:eastAsia="zh-CN"/>
        </w:rPr>
        <w:t>提升机</w:t>
      </w:r>
      <w:r>
        <w:rPr>
          <w:rFonts w:hint="eastAsia" w:ascii="仿宋_GB2312" w:hAnsi="宋体"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2.招标范围：4根</w:t>
      </w:r>
      <w:r>
        <w:rPr>
          <w:rFonts w:hint="eastAsia" w:ascii="仿宋_GB2312" w:hAnsi="仿宋_GB2312" w:eastAsia="仿宋_GB2312" w:cs="仿宋_GB2312"/>
          <w:sz w:val="32"/>
          <w:szCs w:val="32"/>
          <w:highlight w:val="none"/>
          <w:lang w:val="en-US" w:eastAsia="zh-CN"/>
        </w:rPr>
        <w:t>Φ</w:t>
      </w:r>
      <w:r>
        <w:rPr>
          <w:rFonts w:hint="eastAsia" w:ascii="仿宋_GB2312" w:hAnsi="宋体" w:eastAsia="仿宋_GB2312" w:cs="仿宋_GB2312"/>
          <w:color w:val="auto"/>
          <w:sz w:val="32"/>
          <w:szCs w:val="32"/>
          <w:highlight w:val="none"/>
        </w:rPr>
        <w:t>3</w:t>
      </w:r>
      <w:r>
        <w:rPr>
          <w:rFonts w:hint="eastAsia" w:ascii="仿宋_GB2312" w:hAnsi="宋体" w:eastAsia="仿宋_GB2312" w:cs="仿宋_GB2312"/>
          <w:color w:val="auto"/>
          <w:sz w:val="32"/>
          <w:szCs w:val="32"/>
          <w:highlight w:val="none"/>
          <w:lang w:val="en-US" w:eastAsia="zh-CN"/>
        </w:rPr>
        <w:t>2</w:t>
      </w:r>
      <w:r>
        <w:rPr>
          <w:rFonts w:hint="eastAsia" w:ascii="仿宋_GB2312" w:hAnsi="宋体" w:eastAsia="仿宋_GB2312" w:cs="仿宋_GB2312"/>
          <w:color w:val="auto"/>
          <w:sz w:val="32"/>
          <w:szCs w:val="32"/>
          <w:highlight w:val="none"/>
        </w:rPr>
        <w:t>.0mm进口镀锌三角股钢丝绳</w:t>
      </w:r>
      <w:r>
        <w:rPr>
          <w:rFonts w:hint="eastAsia" w:ascii="仿宋_GB2312" w:hAnsi="宋体" w:eastAsia="仿宋_GB2312" w:cs="仿宋_GB2312"/>
          <w:sz w:val="32"/>
          <w:szCs w:val="32"/>
          <w:highlight w:val="none"/>
          <w:lang w:val="en-US" w:eastAsia="zh-CN"/>
        </w:rPr>
        <w:t>14620</w:t>
      </w:r>
      <w:r>
        <w:rPr>
          <w:rFonts w:hint="eastAsia" w:ascii="仿宋_GB2312" w:hAnsi="宋体" w:eastAsia="仿宋_GB2312" w:cs="仿宋_GB2312"/>
          <w:color w:val="auto"/>
          <w:sz w:val="32"/>
          <w:szCs w:val="32"/>
          <w:highlight w:val="none"/>
        </w:rPr>
        <w:t>kg。本次招标数量为理论计算数量，中标后一次性签订合同，依据实际收货</w:t>
      </w:r>
      <w:r>
        <w:rPr>
          <w:rFonts w:hint="eastAsia" w:ascii="仿宋_GB2312" w:hAnsi="宋体" w:eastAsia="仿宋_GB2312" w:cs="仿宋_GB2312"/>
          <w:color w:val="auto"/>
          <w:sz w:val="32"/>
          <w:szCs w:val="32"/>
          <w:highlight w:val="none"/>
          <w:lang w:val="en-US" w:eastAsia="zh-CN"/>
        </w:rPr>
        <w:t>数</w:t>
      </w:r>
      <w:r>
        <w:rPr>
          <w:rFonts w:hint="eastAsia" w:ascii="仿宋_GB2312" w:hAnsi="宋体" w:eastAsia="仿宋_GB2312" w:cs="仿宋_GB2312"/>
          <w:color w:val="auto"/>
          <w:sz w:val="32"/>
          <w:szCs w:val="32"/>
          <w:highlight w:val="none"/>
        </w:rPr>
        <w:t>量进行结算。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二、执行标准和规范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钢丝绳</w:t>
      </w:r>
      <w:r>
        <w:rPr>
          <w:rFonts w:hint="eastAsia" w:ascii="仿宋_GB2312" w:hAnsi="宋体" w:eastAsia="仿宋_GB2312" w:cs="仿宋_GB2312"/>
          <w:color w:val="auto"/>
          <w:sz w:val="32"/>
          <w:szCs w:val="32"/>
          <w:highlight w:val="none"/>
        </w:rPr>
        <w:t>的设计、生产、检验应符合（不限于）下列标准：</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bidi="ar-SA"/>
        </w:rPr>
        <w:t>1.</w:t>
      </w:r>
      <w:r>
        <w:rPr>
          <w:rFonts w:hint="eastAsia" w:ascii="仿宋_GB2312" w:hAnsi="仿宋_GB2312" w:eastAsia="仿宋_GB2312" w:cs="仿宋_GB2312"/>
          <w:sz w:val="32"/>
          <w:szCs w:val="32"/>
          <w:highlight w:val="none"/>
          <w:lang w:val="en-US" w:eastAsia="zh-CN"/>
        </w:rPr>
        <w:t>GB/T 8918-2006 《重要用途钢丝绳》</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bidi="ar-SA"/>
        </w:rPr>
        <w:t>2.</w:t>
      </w:r>
      <w:r>
        <w:rPr>
          <w:rFonts w:hint="eastAsia" w:ascii="仿宋_GB2312" w:hAnsi="仿宋_GB2312" w:eastAsia="仿宋_GB2312" w:cs="仿宋_GB2312"/>
          <w:sz w:val="32"/>
          <w:szCs w:val="32"/>
          <w:highlight w:val="none"/>
          <w:lang w:val="en-US" w:eastAsia="zh-CN"/>
        </w:rPr>
        <w:t>MT/T 716-2019 《煤矿重要用途钢丝绳验收技术条件》</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现行国家、行业的其他有关标准及《煤矿安全规程》（2025版），投标厂商所使用的标准、规范均应是现行有效版本。计量单位应以国际单位制（SI）表示。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三、主要技术参数及技术要求</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（一）钢丝绳技术参数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lang w:eastAsia="zh-CN"/>
        </w:rPr>
      </w:pPr>
      <w:r>
        <w:rPr>
          <w:rFonts w:hint="eastAsia" w:ascii="仿宋_GB2312" w:hAnsi="宋体" w:eastAsia="仿宋_GB2312" w:cs="仿宋_GB2312"/>
          <w:color w:val="auto"/>
          <w:sz w:val="32"/>
          <w:szCs w:val="32"/>
          <w:highlight w:val="none"/>
          <w:lang w:val="en-US" w:eastAsia="zh-CN"/>
        </w:rPr>
        <w:t>1.钢丝绳名称：</w:t>
      </w:r>
      <w:r>
        <w:rPr>
          <w:rFonts w:hint="eastAsia" w:ascii="仿宋_GB2312" w:hAnsi="宋体" w:eastAsia="仿宋_GB2312" w:cs="仿宋_GB2312"/>
          <w:color w:val="auto"/>
          <w:sz w:val="32"/>
          <w:szCs w:val="32"/>
          <w:highlight w:val="none"/>
        </w:rPr>
        <w:t>镀锌三角股钢丝绳</w:t>
      </w:r>
      <w:r>
        <w:rPr>
          <w:rFonts w:hint="eastAsia" w:ascii="仿宋_GB2312" w:hAnsi="宋体" w:eastAsia="仿宋_GB2312" w:cs="仿宋_GB2312"/>
          <w:color w:val="auto"/>
          <w:sz w:val="32"/>
          <w:szCs w:val="32"/>
          <w:highlight w:val="none"/>
          <w:lang w:eastAsia="zh-CN"/>
        </w:rPr>
        <w:t>。</w:t>
      </w:r>
    </w:p>
    <w:p>
      <w:pPr>
        <w:spacing w:line="560" w:lineRule="exact"/>
        <w:ind w:firstLine="640" w:firstLineChars="200"/>
        <w:jc w:val="both"/>
        <w:rPr>
          <w:rFonts w:hint="eastAsia"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32"/>
          <w:szCs w:val="32"/>
          <w:lang w:val="en-US" w:eastAsia="zh-CN"/>
        </w:rPr>
        <w:t>2.钢丝绳结构（参考）：</w:t>
      </w:r>
      <w:r>
        <w:rPr>
          <w:rFonts w:hint="eastAsia" w:ascii="仿宋_GB2312" w:hAnsi="宋体" w:eastAsia="仿宋_GB2312" w:cs="仿宋_GB2312"/>
          <w:color w:val="auto"/>
          <w:sz w:val="28"/>
          <w:szCs w:val="28"/>
          <w:highlight w:val="none"/>
          <w:vertAlign w:val="baseline"/>
        </w:rPr>
        <w:t>6×30(12/12/6+3T)/F</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b w:val="0"/>
          <w:bCs w:val="0"/>
          <w:color w:val="auto"/>
          <w:sz w:val="32"/>
          <w:szCs w:val="32"/>
          <w:highlight w:val="none"/>
        </w:rPr>
      </w:pPr>
      <w:r>
        <w:rPr>
          <w:rFonts w:hint="eastAsia" w:ascii="仿宋_GB2312" w:hAnsi="宋体" w:eastAsia="仿宋_GB2312" w:cs="仿宋_GB2312"/>
          <w:b w:val="0"/>
          <w:bCs w:val="0"/>
          <w:color w:val="auto"/>
          <w:sz w:val="32"/>
          <w:szCs w:val="32"/>
          <w:highlight w:val="none"/>
          <w:lang w:val="en-US" w:eastAsia="zh-CN"/>
        </w:rPr>
        <w:t>3</w:t>
      </w:r>
      <w:r>
        <w:rPr>
          <w:rFonts w:hint="eastAsia" w:ascii="仿宋_GB2312" w:hAnsi="宋体" w:eastAsia="仿宋_GB2312" w:cs="仿宋_GB2312"/>
          <w:b w:val="0"/>
          <w:bCs w:val="0"/>
          <w:color w:val="auto"/>
          <w:sz w:val="32"/>
          <w:szCs w:val="32"/>
          <w:highlight w:val="none"/>
        </w:rPr>
        <w:t>.钢丝绳直径</w:t>
      </w:r>
      <w:r>
        <w:rPr>
          <w:rFonts w:hint="eastAsia" w:ascii="仿宋_GB2312" w:hAnsi="宋体" w:eastAsia="仿宋_GB2312" w:cs="仿宋_GB2312"/>
          <w:b w:val="0"/>
          <w:bCs w:val="0"/>
          <w:color w:val="auto"/>
          <w:sz w:val="32"/>
          <w:szCs w:val="32"/>
          <w:highlight w:val="none"/>
          <w:lang w:eastAsia="zh-CN"/>
        </w:rPr>
        <w:t>：</w:t>
      </w:r>
      <w:r>
        <w:rPr>
          <w:rFonts w:hint="eastAsia" w:ascii="仿宋_GB2312" w:hAnsi="宋体" w:eastAsia="仿宋_GB2312" w:cs="仿宋_GB2312"/>
          <w:b w:val="0"/>
          <w:bCs w:val="0"/>
          <w:color w:val="auto"/>
          <w:sz w:val="32"/>
          <w:szCs w:val="32"/>
          <w:highlight w:val="none"/>
          <w:lang w:val="en-US" w:eastAsia="zh-CN"/>
        </w:rPr>
        <w:t>32.0</w:t>
      </w:r>
      <w:r>
        <w:rPr>
          <w:rFonts w:hint="eastAsia" w:ascii="仿宋_GB2312" w:hAnsi="宋体" w:eastAsia="仿宋_GB2312" w:cs="仿宋_GB2312"/>
          <w:b w:val="0"/>
          <w:bCs w:val="0"/>
          <w:color w:val="auto"/>
          <w:sz w:val="32"/>
          <w:szCs w:val="32"/>
          <w:highlight w:val="none"/>
        </w:rPr>
        <w:t>mm。</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b w:val="0"/>
          <w:bCs w:val="0"/>
          <w:color w:val="auto"/>
          <w:sz w:val="32"/>
          <w:szCs w:val="32"/>
          <w:highlight w:val="none"/>
          <w:lang w:val="en-US" w:eastAsia="zh-CN"/>
        </w:rPr>
      </w:pPr>
      <w:r>
        <w:rPr>
          <w:rFonts w:hint="eastAsia" w:ascii="仿宋_GB2312" w:hAnsi="宋体" w:eastAsia="仿宋_GB2312" w:cs="仿宋_GB2312"/>
          <w:b w:val="0"/>
          <w:bCs w:val="0"/>
          <w:color w:val="auto"/>
          <w:sz w:val="32"/>
          <w:szCs w:val="32"/>
          <w:highlight w:val="none"/>
          <w:lang w:val="en-US" w:eastAsia="zh-CN"/>
        </w:rPr>
        <w:t>4</w:t>
      </w:r>
      <w:r>
        <w:rPr>
          <w:rFonts w:hint="eastAsia" w:ascii="仿宋_GB2312" w:hAnsi="宋体" w:eastAsia="仿宋_GB2312" w:cs="仿宋_GB2312"/>
          <w:b w:val="0"/>
          <w:bCs w:val="0"/>
          <w:color w:val="auto"/>
          <w:sz w:val="32"/>
          <w:szCs w:val="32"/>
          <w:highlight w:val="none"/>
        </w:rPr>
        <w:t>.</w:t>
      </w:r>
      <w:r>
        <w:rPr>
          <w:rFonts w:hint="eastAsia" w:ascii="仿宋_GB2312" w:hAnsi="宋体" w:eastAsia="仿宋_GB2312" w:cs="仿宋_GB2312"/>
          <w:b w:val="0"/>
          <w:bCs w:val="0"/>
          <w:color w:val="auto"/>
          <w:sz w:val="32"/>
          <w:szCs w:val="32"/>
          <w:highlight w:val="none"/>
          <w:lang w:val="en-US" w:eastAsia="zh-CN"/>
        </w:rPr>
        <w:t>钢丝绳长度</w:t>
      </w:r>
      <w:r>
        <w:rPr>
          <w:rFonts w:hint="eastAsia" w:ascii="仿宋_GB2312" w:hAnsi="宋体" w:eastAsia="仿宋_GB2312" w:cs="仿宋_GB2312"/>
          <w:b w:val="0"/>
          <w:bCs w:val="0"/>
          <w:color w:val="auto"/>
          <w:sz w:val="32"/>
          <w:szCs w:val="32"/>
          <w:highlight w:val="none"/>
          <w:lang w:eastAsia="zh-CN"/>
        </w:rPr>
        <w:t>：</w:t>
      </w:r>
      <w:r>
        <w:rPr>
          <w:rFonts w:hint="eastAsia" w:ascii="仿宋_GB2312" w:hAnsi="宋体" w:eastAsia="仿宋_GB2312" w:cs="仿宋_GB2312"/>
          <w:b w:val="0"/>
          <w:bCs w:val="0"/>
          <w:color w:val="auto"/>
          <w:sz w:val="32"/>
          <w:szCs w:val="32"/>
          <w:highlight w:val="none"/>
          <w:lang w:val="en-US" w:eastAsia="zh-CN"/>
        </w:rPr>
        <w:t>850</w:t>
      </w:r>
      <w:r>
        <w:rPr>
          <w:rFonts w:hint="eastAsia" w:ascii="仿宋_GB2312" w:hAnsi="宋体" w:eastAsia="仿宋_GB2312" w:cs="仿宋_GB2312"/>
          <w:b w:val="0"/>
          <w:bCs w:val="0"/>
          <w:color w:val="auto"/>
          <w:sz w:val="32"/>
          <w:szCs w:val="32"/>
          <w:highlight w:val="none"/>
        </w:rPr>
        <w:t>m</w:t>
      </w:r>
      <w:r>
        <w:rPr>
          <w:rFonts w:hint="eastAsia" w:ascii="仿宋_GB2312" w:hAnsi="宋体" w:eastAsia="仿宋_GB2312" w:cs="仿宋_GB2312"/>
          <w:b w:val="0"/>
          <w:bCs w:val="0"/>
          <w:color w:val="auto"/>
          <w:sz w:val="32"/>
          <w:szCs w:val="32"/>
          <w:highlight w:val="none"/>
          <w:lang w:val="en-US" w:eastAsia="zh-CN"/>
        </w:rPr>
        <w:t>/根。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b w:val="0"/>
          <w:bCs w:val="0"/>
          <w:color w:val="auto"/>
          <w:sz w:val="32"/>
          <w:szCs w:val="32"/>
          <w:highlight w:val="none"/>
        </w:rPr>
      </w:pPr>
      <w:r>
        <w:rPr>
          <w:rFonts w:hint="eastAsia" w:ascii="仿宋_GB2312" w:hAnsi="宋体" w:eastAsia="仿宋_GB2312" w:cs="仿宋_GB2312"/>
          <w:b w:val="0"/>
          <w:bCs w:val="0"/>
          <w:color w:val="auto"/>
          <w:sz w:val="32"/>
          <w:szCs w:val="32"/>
          <w:highlight w:val="none"/>
          <w:lang w:val="en-US" w:eastAsia="zh-CN"/>
        </w:rPr>
        <w:t>5.钢丝绳数量：4</w:t>
      </w:r>
      <w:r>
        <w:rPr>
          <w:rFonts w:hint="eastAsia" w:ascii="仿宋_GB2312" w:hAnsi="宋体" w:eastAsia="仿宋_GB2312" w:cs="仿宋_GB2312"/>
          <w:b w:val="0"/>
          <w:bCs w:val="0"/>
          <w:color w:val="auto"/>
          <w:sz w:val="32"/>
          <w:szCs w:val="32"/>
          <w:highlight w:val="none"/>
        </w:rPr>
        <w:t>根。</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6.理论</w:t>
      </w:r>
      <w:r>
        <w:rPr>
          <w:rFonts w:hint="eastAsia" w:ascii="仿宋_GB2312" w:hAnsi="仿宋_GB2312" w:eastAsia="仿宋_GB2312" w:cs="仿宋_GB2312"/>
          <w:color w:val="auto"/>
          <w:sz w:val="32"/>
          <w:szCs w:val="32"/>
          <w:highlight w:val="none"/>
        </w:rPr>
        <w:t>单位长度重量</w:t>
      </w:r>
      <w:r>
        <w:rPr>
          <w:rFonts w:hint="eastAsia" w:ascii="仿宋_GB2312" w:hAnsi="宋体" w:eastAsia="仿宋_GB2312" w:cs="仿宋_GB2312"/>
          <w:color w:val="auto"/>
          <w:sz w:val="32"/>
          <w:szCs w:val="32"/>
          <w:lang w:val="en-US" w:eastAsia="zh-CN"/>
        </w:rPr>
        <w:t>：4.3kg/m。</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b w:val="0"/>
          <w:bCs w:val="0"/>
          <w:color w:val="auto"/>
          <w:sz w:val="32"/>
          <w:szCs w:val="32"/>
          <w:highlight w:val="none"/>
        </w:rPr>
      </w:pPr>
      <w:r>
        <w:rPr>
          <w:rFonts w:hint="eastAsia" w:ascii="仿宋_GB2312" w:hAnsi="宋体" w:eastAsia="仿宋_GB2312" w:cs="仿宋_GB2312"/>
          <w:b w:val="0"/>
          <w:bCs w:val="0"/>
          <w:color w:val="auto"/>
          <w:sz w:val="32"/>
          <w:szCs w:val="32"/>
          <w:highlight w:val="none"/>
          <w:lang w:val="en-US" w:eastAsia="zh-CN"/>
        </w:rPr>
        <w:t>7</w:t>
      </w:r>
      <w:r>
        <w:rPr>
          <w:rFonts w:hint="eastAsia" w:ascii="仿宋_GB2312" w:hAnsi="宋体" w:eastAsia="仿宋_GB2312" w:cs="仿宋_GB2312"/>
          <w:b w:val="0"/>
          <w:bCs w:val="0"/>
          <w:color w:val="auto"/>
          <w:sz w:val="32"/>
          <w:szCs w:val="32"/>
          <w:highlight w:val="none"/>
        </w:rPr>
        <w:t>.捻向：</w:t>
      </w:r>
      <w:r>
        <w:rPr>
          <w:rFonts w:hint="eastAsia" w:ascii="仿宋_GB2312" w:hAnsi="仿宋_GB2312" w:eastAsia="仿宋_GB2312" w:cs="仿宋_GB2312"/>
          <w:color w:val="auto"/>
          <w:sz w:val="32"/>
          <w:szCs w:val="32"/>
          <w:highlight w:val="none"/>
          <w:lang w:val="en-US" w:eastAsia="zh-CN"/>
        </w:rPr>
        <w:t>各钢丝绳捻向</w:t>
      </w:r>
      <w:r>
        <w:rPr>
          <w:rFonts w:hint="eastAsia" w:ascii="仿宋_GB2312" w:hAnsi="宋体" w:eastAsia="仿宋_GB2312" w:cs="仿宋_GB2312"/>
          <w:color w:val="auto"/>
          <w:sz w:val="32"/>
          <w:szCs w:val="32"/>
          <w:highlight w:val="none"/>
          <w:lang w:val="en-US" w:eastAsia="zh-CN"/>
        </w:rPr>
        <w:t>在技术协议中规定</w:t>
      </w:r>
      <w:bookmarkStart w:id="0" w:name="_GoBack"/>
      <w:bookmarkEnd w:id="0"/>
      <w:r>
        <w:rPr>
          <w:rFonts w:hint="eastAsia" w:ascii="仿宋_GB2312" w:hAnsi="宋体" w:eastAsia="仿宋_GB2312" w:cs="仿宋_GB2312"/>
          <w:b w:val="0"/>
          <w:bCs w:val="0"/>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8</w:t>
      </w:r>
      <w:r>
        <w:rPr>
          <w:rFonts w:hint="eastAsia" w:ascii="仿宋_GB2312" w:hAnsi="宋体" w:eastAsia="仿宋_GB2312" w:cs="仿宋_GB2312"/>
          <w:color w:val="auto"/>
          <w:sz w:val="32"/>
          <w:szCs w:val="32"/>
          <w:highlight w:val="none"/>
        </w:rPr>
        <w:t>.钢丝公称抗拉强度</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1</w:t>
      </w:r>
      <w:r>
        <w:rPr>
          <w:rFonts w:hint="eastAsia" w:ascii="仿宋_GB2312" w:hAnsi="宋体" w:eastAsia="仿宋_GB2312" w:cs="仿宋_GB2312"/>
          <w:color w:val="auto"/>
          <w:sz w:val="32"/>
          <w:szCs w:val="32"/>
          <w:highlight w:val="none"/>
          <w:lang w:val="en-US" w:eastAsia="zh-CN"/>
        </w:rPr>
        <w:t>7</w:t>
      </w:r>
      <w:r>
        <w:rPr>
          <w:rFonts w:hint="eastAsia" w:ascii="仿宋_GB2312" w:hAnsi="宋体" w:eastAsia="仿宋_GB2312" w:cs="仿宋_GB2312"/>
          <w:color w:val="auto"/>
          <w:sz w:val="32"/>
          <w:szCs w:val="32"/>
          <w:highlight w:val="none"/>
        </w:rPr>
        <w:t>70MPa。</w:t>
      </w:r>
    </w:p>
    <w:p>
      <w:pPr>
        <w:spacing w:line="560" w:lineRule="exact"/>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000000" w:themeColor="text1"/>
          <w:sz w:val="32"/>
          <w:szCs w:val="32"/>
          <w:highlight w:val="none"/>
          <w:lang w:val="en-US" w:eastAsia="zh-CN"/>
          <w14:textFill>
            <w14:solidFill>
              <w14:schemeClr w14:val="tx1"/>
            </w14:solidFill>
          </w14:textFill>
        </w:rPr>
        <w:t>9.钢丝绳破断拉力总</w:t>
      </w:r>
      <w:r>
        <w:rPr>
          <w:rFonts w:hint="eastAsia" w:ascii="仿宋" w:hAnsi="仿宋" w:eastAsia="仿宋"/>
          <w:color w:val="auto"/>
          <w:sz w:val="32"/>
          <w:szCs w:val="32"/>
          <w:highlight w:val="none"/>
          <w:lang w:val="en-US" w:eastAsia="zh-CN"/>
        </w:rPr>
        <w:t>和不低于824.95KN。</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.镀锌：</w:t>
      </w:r>
      <w:r>
        <w:rPr>
          <w:rFonts w:hint="eastAsia" w:ascii="仿宋_GB2312" w:hAnsi="宋体" w:eastAsia="仿宋_GB2312" w:cs="仿宋_GB2312"/>
          <w:color w:val="auto"/>
          <w:sz w:val="32"/>
          <w:szCs w:val="32"/>
          <w:highlight w:val="none"/>
          <w:lang w:val="en-US" w:eastAsia="zh-CN"/>
        </w:rPr>
        <w:t>A</w:t>
      </w:r>
      <w:r>
        <w:rPr>
          <w:rFonts w:hint="eastAsia" w:ascii="仿宋_GB2312" w:hAnsi="宋体" w:eastAsia="仿宋_GB2312" w:cs="仿宋_GB2312"/>
          <w:color w:val="auto"/>
          <w:sz w:val="32"/>
          <w:szCs w:val="32"/>
          <w:highlight w:val="none"/>
        </w:rPr>
        <w:t>B级镀锌</w:t>
      </w:r>
      <w:r>
        <w:rPr>
          <w:rFonts w:hint="eastAsia" w:ascii="仿宋_GB2312" w:hAnsi="宋体"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11</w:t>
      </w:r>
      <w:r>
        <w:rPr>
          <w:rFonts w:hint="eastAsia" w:ascii="仿宋_GB2312" w:hAnsi="宋体" w:eastAsia="仿宋_GB2312" w:cs="仿宋_GB2312"/>
          <w:color w:val="auto"/>
          <w:sz w:val="32"/>
          <w:szCs w:val="32"/>
          <w:highlight w:val="none"/>
        </w:rPr>
        <w:t>.钢丝绳及内部绳芯使用进口戈培油，标准涂油。</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.用途：</w:t>
      </w:r>
      <w:r>
        <w:rPr>
          <w:rFonts w:hint="eastAsia" w:ascii="仿宋_GB2312" w:hAnsi="仿宋_GB2312" w:eastAsia="仿宋_GB2312" w:cs="仿宋_GB2312"/>
          <w:color w:val="auto"/>
          <w:sz w:val="32"/>
          <w:szCs w:val="32"/>
          <w:highlight w:val="none"/>
          <w:lang w:val="en-US" w:eastAsia="zh-CN"/>
        </w:rPr>
        <w:t>立井</w:t>
      </w:r>
      <w:r>
        <w:rPr>
          <w:rFonts w:hint="eastAsia" w:ascii="仿宋_GB2312" w:hAnsi="仿宋_GB2312" w:eastAsia="仿宋_GB2312" w:cs="仿宋_GB2312"/>
          <w:color w:val="auto"/>
          <w:sz w:val="32"/>
          <w:szCs w:val="32"/>
          <w:highlight w:val="none"/>
        </w:rPr>
        <w:t>提升系统</w:t>
      </w:r>
      <w:r>
        <w:rPr>
          <w:rFonts w:hint="eastAsia" w:ascii="仿宋_GB2312" w:hAnsi="仿宋_GB2312" w:eastAsia="仿宋_GB2312" w:cs="仿宋_GB2312"/>
          <w:color w:val="auto"/>
          <w:sz w:val="32"/>
          <w:szCs w:val="32"/>
          <w:highlight w:val="none"/>
          <w:lang w:val="en-US" w:eastAsia="zh-CN"/>
        </w:rPr>
        <w:t>主提升</w:t>
      </w:r>
      <w:r>
        <w:rPr>
          <w:rFonts w:hint="eastAsia" w:ascii="仿宋_GB2312" w:hAnsi="仿宋_GB2312" w:eastAsia="仿宋_GB2312" w:cs="仿宋_GB2312"/>
          <w:color w:val="auto"/>
          <w:sz w:val="32"/>
          <w:szCs w:val="32"/>
          <w:highlight w:val="none"/>
        </w:rPr>
        <w:t>钢丝绳。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ascii="楷体" w:hAnsi="楷体" w:eastAsia="楷体" w:cs="仿宋_GB2312"/>
          <w:b/>
          <w:color w:val="auto"/>
          <w:sz w:val="32"/>
          <w:szCs w:val="32"/>
        </w:rPr>
      </w:pPr>
      <w:r>
        <w:rPr>
          <w:rFonts w:hint="eastAsia" w:ascii="楷体" w:hAnsi="楷体" w:eastAsia="楷体" w:cs="仿宋_GB2312"/>
          <w:b/>
          <w:color w:val="auto"/>
          <w:sz w:val="32"/>
          <w:szCs w:val="32"/>
        </w:rPr>
        <w:t>（二）技术要求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1.要求：整绳长度钢丝无焊接接头。</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2.钢丝绳应捻制均匀、紧密和不松散；在展开和无负荷情况下，不得呈波浪状；绳内钢丝不得有交错、折弯、断丝和锈蚀等缺陷；</w:t>
      </w:r>
      <w:r>
        <w:rPr>
          <w:rFonts w:hint="eastAsia" w:ascii="仿宋_GB2312" w:hAnsi="宋体" w:eastAsia="仿宋_GB2312" w:cs="仿宋_GB2312"/>
          <w:color w:val="auto"/>
          <w:sz w:val="32"/>
          <w:szCs w:val="32"/>
          <w:lang w:val="en-US" w:eastAsia="zh-CN"/>
        </w:rPr>
        <w:t>在</w:t>
      </w:r>
      <w:r>
        <w:rPr>
          <w:rFonts w:hint="eastAsia" w:ascii="仿宋_GB2312" w:hAnsi="宋体" w:eastAsia="仿宋_GB2312" w:cs="仿宋_GB2312"/>
          <w:color w:val="auto"/>
          <w:sz w:val="32"/>
          <w:szCs w:val="32"/>
        </w:rPr>
        <w:t>正常使用情况</w:t>
      </w:r>
      <w:r>
        <w:rPr>
          <w:rFonts w:hint="eastAsia" w:ascii="仿宋_GB2312" w:hAnsi="宋体" w:eastAsia="仿宋_GB2312" w:cs="仿宋_GB2312"/>
          <w:color w:val="auto"/>
          <w:sz w:val="32"/>
          <w:szCs w:val="32"/>
          <w:lang w:val="en-US" w:eastAsia="zh-CN"/>
        </w:rPr>
        <w:t>下，</w:t>
      </w:r>
      <w:r>
        <w:rPr>
          <w:rFonts w:hint="eastAsia" w:ascii="仿宋_GB2312" w:hAnsi="仿宋_GB2312" w:eastAsia="仿宋_GB2312" w:cs="仿宋_GB2312"/>
          <w:color w:val="auto"/>
          <w:sz w:val="32"/>
          <w:szCs w:val="32"/>
          <w:highlight w:val="none"/>
          <w:lang w:val="en-US" w:eastAsia="zh-CN"/>
        </w:rPr>
        <w:t>钢丝绳不出现异常扭曲、变形等现象；钢丝绳的绳芯应具有足够的支撑作用。</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3.钢丝绳制造时，同直径钢丝应为同一公称抗拉强度，不同直径钢丝允许采用相同或相邻公称抗拉强度，但应保证钢丝绳最小破断拉力符合GB/T 8918-2006有关要求。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4.镀锌钢丝绳的所有钢丝都应镀锌，符合MT/T 716-2019 AB级镀锌标准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采用拉拔镀锌的工艺，保证锌层均匀、不脱落，在正常的使用条件下，锈蚀不超过规定，同时保证钢丝的强度和韧性。</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5.钢丝绳不得出现</w:t>
      </w:r>
      <w:r>
        <w:rPr>
          <w:rFonts w:hint="eastAsia" w:ascii="仿宋_GB2312" w:hAnsi="宋体" w:eastAsia="仿宋_GB2312" w:cs="仿宋_GB2312"/>
          <w:color w:val="auto"/>
          <w:sz w:val="32"/>
          <w:szCs w:val="32"/>
        </w:rPr>
        <w:t>MT</w:t>
      </w:r>
      <w:r>
        <w:rPr>
          <w:rFonts w:hint="eastAsia" w:ascii="仿宋_GB2312" w:hAnsi="宋体" w:eastAsia="仿宋_GB2312" w:cs="仿宋_GB2312"/>
          <w:color w:val="auto"/>
          <w:sz w:val="32"/>
          <w:szCs w:val="32"/>
          <w:lang w:val="en-US" w:eastAsia="zh-CN"/>
        </w:rPr>
        <w:t xml:space="preserve">/T </w:t>
      </w:r>
      <w:r>
        <w:rPr>
          <w:rFonts w:hint="eastAsia" w:ascii="仿宋_GB2312" w:hAnsi="宋体" w:eastAsia="仿宋_GB2312" w:cs="仿宋_GB2312"/>
          <w:color w:val="auto"/>
          <w:sz w:val="32"/>
          <w:szCs w:val="32"/>
        </w:rPr>
        <w:t>716</w:t>
      </w:r>
      <w:r>
        <w:rPr>
          <w:rFonts w:hint="eastAsia" w:ascii="仿宋_GB2312" w:hAnsi="宋体" w:eastAsia="仿宋_GB2312" w:cs="仿宋_GB2312"/>
          <w:color w:val="auto"/>
          <w:sz w:val="32"/>
          <w:szCs w:val="32"/>
          <w:highlight w:val="none"/>
        </w:rPr>
        <w:t>-2019</w:t>
      </w:r>
      <w:r>
        <w:rPr>
          <w:rFonts w:hint="eastAsia" w:ascii="仿宋_GB2312" w:hAnsi="宋体" w:eastAsia="仿宋_GB2312" w:cs="仿宋_GB2312"/>
          <w:color w:val="auto"/>
          <w:sz w:val="32"/>
          <w:szCs w:val="32"/>
        </w:rPr>
        <w:t>规定</w:t>
      </w:r>
      <w:r>
        <w:rPr>
          <w:rFonts w:hint="eastAsia" w:ascii="仿宋_GB2312" w:hAnsi="宋体" w:eastAsia="仿宋_GB2312" w:cs="仿宋_GB2312"/>
          <w:color w:val="auto"/>
          <w:sz w:val="32"/>
          <w:szCs w:val="32"/>
          <w:lang w:val="en-US" w:eastAsia="zh-CN"/>
        </w:rPr>
        <w:t>的外观缺陷；在</w:t>
      </w:r>
      <w:r>
        <w:rPr>
          <w:rFonts w:hint="eastAsia" w:ascii="仿宋_GB2312" w:hAnsi="宋体" w:eastAsia="仿宋_GB2312" w:cs="仿宋_GB2312"/>
          <w:color w:val="auto"/>
          <w:sz w:val="32"/>
          <w:szCs w:val="32"/>
        </w:rPr>
        <w:t>正常使用情况下</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断丝不能超过</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rPr>
        <w:t>规定要求。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.钢丝绳伸</w:t>
      </w:r>
      <w:r>
        <w:rPr>
          <w:rFonts w:hint="eastAsia" w:ascii="仿宋_GB2312" w:hAnsi="宋体" w:eastAsia="仿宋_GB2312" w:cs="仿宋_GB2312"/>
          <w:color w:val="auto"/>
          <w:sz w:val="32"/>
          <w:szCs w:val="32"/>
          <w:lang w:val="en-US" w:eastAsia="zh-CN"/>
        </w:rPr>
        <w:t>长率：初次加额定载荷结构伸长率不大于0.20%，钢丝绳整绳永久塑性伸长不大于0.30%。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7.钢丝绳的实测直径偏差：0～+5%，钢丝绳的不圆度不得大于钢丝绳公称直径的4%。</w:t>
      </w:r>
    </w:p>
    <w:p>
      <w:pPr>
        <w:spacing w:line="560" w:lineRule="exact"/>
        <w:ind w:firstLine="640" w:firstLineChars="200"/>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8.钢丝绳的实测长度在无负荷状态下允许与订货长度偏差0～+20m。</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9.</w:t>
      </w:r>
      <w:r>
        <w:rPr>
          <w:rFonts w:hint="eastAsia" w:ascii="仿宋_GB2312" w:hAnsi="宋体" w:eastAsia="仿宋_GB2312" w:cs="仿宋_GB2312"/>
          <w:color w:val="auto"/>
          <w:sz w:val="32"/>
          <w:szCs w:val="32"/>
        </w:rPr>
        <w:t>钢丝绳</w:t>
      </w:r>
      <w:r>
        <w:rPr>
          <w:rFonts w:hint="eastAsia" w:ascii="仿宋_GB2312" w:hAnsi="宋体" w:eastAsia="仿宋_GB2312" w:cs="仿宋_GB2312"/>
          <w:color w:val="auto"/>
          <w:sz w:val="32"/>
          <w:szCs w:val="32"/>
          <w:lang w:val="en-US" w:eastAsia="zh-CN"/>
        </w:rPr>
        <w:t>的</w:t>
      </w:r>
      <w:r>
        <w:rPr>
          <w:rFonts w:hint="eastAsia" w:ascii="仿宋_GB2312" w:hAnsi="宋体" w:eastAsia="仿宋_GB2312" w:cs="仿宋_GB2312"/>
          <w:color w:val="auto"/>
          <w:sz w:val="32"/>
          <w:szCs w:val="32"/>
        </w:rPr>
        <w:t>实</w:t>
      </w:r>
      <w:r>
        <w:rPr>
          <w:rFonts w:hint="eastAsia" w:ascii="仿宋_GB2312" w:hAnsi="宋体" w:eastAsia="仿宋_GB2312" w:cs="仿宋_GB2312"/>
          <w:color w:val="auto"/>
          <w:sz w:val="32"/>
          <w:szCs w:val="32"/>
          <w:lang w:val="en-US" w:eastAsia="zh-CN"/>
        </w:rPr>
        <w:t>测</w:t>
      </w:r>
      <w:r>
        <w:rPr>
          <w:rFonts w:hint="eastAsia" w:ascii="仿宋_GB2312" w:hAnsi="宋体" w:eastAsia="仿宋_GB2312" w:cs="仿宋_GB2312"/>
          <w:color w:val="auto"/>
          <w:sz w:val="32"/>
          <w:szCs w:val="32"/>
        </w:rPr>
        <w:t>重量偏差</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-2%～+5%。</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.钢丝绳注油要求：</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1</w:t>
      </w:r>
      <w:r>
        <w:rPr>
          <w:rFonts w:hint="eastAsia" w:ascii="仿宋_GB2312" w:hAnsi="宋体" w:eastAsia="仿宋_GB2312" w:cs="仿宋_GB2312"/>
          <w:color w:val="auto"/>
          <w:sz w:val="32"/>
          <w:szCs w:val="32"/>
        </w:rPr>
        <w:t>钢丝绳注油采用加温、高压压注工艺。</w:t>
      </w:r>
    </w:p>
    <w:p>
      <w:pPr>
        <w:spacing w:line="560" w:lineRule="exact"/>
        <w:ind w:firstLine="640" w:firstLineChars="200"/>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钢丝绳挂绳后在提升机设计速度下运行不甩油</w:t>
      </w:r>
      <w:r>
        <w:rPr>
          <w:rFonts w:hint="eastAsia" w:ascii="仿宋_GB2312" w:hAnsi="宋体" w:eastAsia="仿宋_GB2312" w:cs="仿宋_GB2312"/>
          <w:color w:val="auto"/>
          <w:sz w:val="32"/>
          <w:szCs w:val="32"/>
          <w:lang w:eastAsia="zh-CN"/>
        </w:rPr>
        <w:t>。</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11.在正常使用和维护条件下，钢丝绳的使用寿命不低于24个月。使用24个月时，钢丝绳的各项指标均不得超过《煤矿安全规程》（2025版）相关</w:t>
      </w:r>
      <w:r>
        <w:rPr>
          <w:rFonts w:hint="eastAsia" w:ascii="仿宋_GB2312" w:hAnsi="宋体" w:eastAsia="仿宋_GB2312" w:cs="仿宋_GB2312"/>
          <w:color w:val="auto"/>
          <w:sz w:val="32"/>
          <w:szCs w:val="32"/>
        </w:rPr>
        <w:t>规定要求</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12.同时供货的同一套钢丝绳应为厂家同批生产的钢丝绳，且同一套钢丝绳中同一捻向的两根钢丝绳必须为同一根钢丝绳截成的两段。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13.钢丝绳出厂时必须做整绳破断拉力试验。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14.投标时所投产品必须具有矿用产品安全标志证书。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四、质量保证、验收标准及随机资料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1.钢丝绳质量符合</w:t>
      </w:r>
      <w:r>
        <w:rPr>
          <w:rFonts w:hint="eastAsia" w:ascii="仿宋_GB2312" w:hAnsi="宋体" w:eastAsia="仿宋_GB2312" w:cs="仿宋_GB2312"/>
          <w:color w:val="auto"/>
          <w:sz w:val="32"/>
          <w:szCs w:val="32"/>
        </w:rPr>
        <w:t>中国国家标准GB/T 8918-2006及煤炭行业MT/T 716-2019标准</w:t>
      </w:r>
      <w:r>
        <w:rPr>
          <w:rFonts w:hint="eastAsia" w:ascii="仿宋_GB2312" w:hAnsi="宋体" w:eastAsia="仿宋_GB2312" w:cs="仿宋_GB2312"/>
          <w:color w:val="auto"/>
          <w:sz w:val="32"/>
          <w:szCs w:val="32"/>
          <w:lang w:val="en-US" w:eastAsia="zh-CN"/>
        </w:rPr>
        <w:t>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验收和检验执行标准：MT/T716-2019</w:t>
      </w:r>
      <w:r>
        <w:rPr>
          <w:rFonts w:hint="eastAsia" w:ascii="仿宋_GB2312" w:hAnsi="宋体"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3</w:t>
      </w:r>
      <w:r>
        <w:rPr>
          <w:rFonts w:hint="eastAsia" w:ascii="仿宋_GB2312" w:hAnsi="宋体" w:eastAsia="仿宋_GB2312" w:cs="仿宋_GB2312"/>
          <w:color w:val="auto"/>
          <w:sz w:val="32"/>
          <w:szCs w:val="32"/>
        </w:rPr>
        <w:t>.所供应的产品必须提供</w:t>
      </w:r>
      <w:r>
        <w:rPr>
          <w:rFonts w:hint="eastAsia" w:ascii="仿宋_GB2312" w:hAnsi="宋体" w:eastAsia="仿宋_GB2312" w:cs="仿宋_GB2312"/>
          <w:color w:val="auto"/>
          <w:sz w:val="32"/>
          <w:szCs w:val="32"/>
          <w:lang w:val="en-US" w:eastAsia="zh-CN"/>
        </w:rPr>
        <w:t>出</w:t>
      </w:r>
      <w:r>
        <w:rPr>
          <w:rFonts w:hint="eastAsia" w:ascii="仿宋_GB2312" w:hAnsi="宋体" w:eastAsia="仿宋_GB2312" w:cs="仿宋_GB2312"/>
          <w:color w:val="auto"/>
          <w:sz w:val="32"/>
          <w:szCs w:val="32"/>
        </w:rPr>
        <w:t>厂检验证明</w:t>
      </w:r>
      <w:r>
        <w:rPr>
          <w:rFonts w:hint="eastAsia" w:ascii="仿宋_GB2312" w:hAnsi="宋体" w:eastAsia="仿宋_GB2312" w:cs="仿宋_GB2312"/>
          <w:color w:val="auto"/>
          <w:sz w:val="32"/>
          <w:szCs w:val="32"/>
          <w:lang w:val="en-US" w:eastAsia="zh-CN"/>
        </w:rPr>
        <w:t>、</w:t>
      </w:r>
      <w:r>
        <w:rPr>
          <w:rFonts w:hint="eastAsia" w:ascii="仿宋_GB2312" w:hAnsi="宋体" w:eastAsia="仿宋_GB2312" w:cs="仿宋_GB2312"/>
          <w:color w:val="auto"/>
          <w:sz w:val="32"/>
          <w:szCs w:val="32"/>
        </w:rPr>
        <w:t>钢丝绳原产地证明书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商检证书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产品合格证、质量证明书、煤矿矿用产品安全标志（MA标志）等资料。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五、“三包”要求</w:t>
      </w:r>
    </w:p>
    <w:p>
      <w:pPr>
        <w:spacing w:line="560" w:lineRule="exact"/>
        <w:ind w:firstLine="640" w:firstLineChars="200"/>
        <w:rPr>
          <w:rFonts w:ascii="仿宋_GB2312" w:hAnsi="宋体" w:eastAsia="仿宋_GB2312" w:cs="仿宋_GB2312"/>
          <w:color w:val="auto"/>
          <w:sz w:val="32"/>
          <w:szCs w:val="32"/>
        </w:rPr>
      </w:pPr>
      <w:r>
        <w:rPr>
          <w:rFonts w:hint="eastAsia" w:ascii="仿宋_GB2312" w:hAnsi="宋体" w:eastAsia="仿宋_GB2312" w:cs="仿宋_GB2312"/>
          <w:color w:val="auto"/>
          <w:sz w:val="32"/>
          <w:szCs w:val="32"/>
        </w:rPr>
        <w:t>除国家另有专门规定、招标文件有特殊要求或投标方有优惠条件外，提升钢丝绳使用后24个月内或货到验收后48个月内(以先到者为准),实行“三包”,钢丝绳的各项指标均不得超过《煤矿安全规程》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rPr>
        <w:t>规定要求。</w:t>
      </w:r>
    </w:p>
    <w:p>
      <w:pPr>
        <w:pStyle w:val="2"/>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kern w:val="2"/>
          <w:sz w:val="32"/>
          <w:szCs w:val="32"/>
          <w:highlight w:val="none"/>
          <w:lang w:val="en-US" w:eastAsia="zh-CN" w:bidi="ar-SA"/>
        </w:rPr>
      </w:pPr>
      <w:r>
        <w:rPr>
          <w:rFonts w:hint="eastAsia" w:hAnsi="黑体" w:cs="黑体"/>
          <w:b w:val="0"/>
          <w:bCs w:val="0"/>
          <w:color w:val="auto"/>
          <w:kern w:val="2"/>
          <w:sz w:val="32"/>
          <w:szCs w:val="32"/>
          <w:highlight w:val="none"/>
          <w:lang w:val="en-US" w:eastAsia="zh-CN" w:bidi="ar-SA"/>
        </w:rPr>
        <w:t>六</w:t>
      </w:r>
      <w:r>
        <w:rPr>
          <w:rFonts w:hint="eastAsia" w:ascii="黑体" w:hAnsi="黑体" w:eastAsia="黑体" w:cs="黑体"/>
          <w:b w:val="0"/>
          <w:bCs w:val="0"/>
          <w:color w:val="auto"/>
          <w:kern w:val="2"/>
          <w:sz w:val="32"/>
          <w:szCs w:val="32"/>
          <w:highlight w:val="none"/>
          <w:lang w:val="en-US" w:eastAsia="zh-CN" w:bidi="ar-SA"/>
        </w:rPr>
        <w:t>、售后服务</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1.按投标书承诺及国家标准执行。</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如有任何质量问题，在收到</w:t>
      </w:r>
      <w:r>
        <w:rPr>
          <w:rFonts w:hint="eastAsia" w:ascii="仿宋_GB2312" w:hAnsi="宋体" w:eastAsia="仿宋_GB2312" w:cs="仿宋_GB2312"/>
          <w:color w:val="auto"/>
          <w:sz w:val="32"/>
          <w:szCs w:val="32"/>
          <w:lang w:val="en-US" w:eastAsia="zh-CN"/>
        </w:rPr>
        <w:t>使用单位</w:t>
      </w:r>
      <w:r>
        <w:rPr>
          <w:rFonts w:hint="eastAsia" w:ascii="仿宋_GB2312" w:hAnsi="宋体" w:eastAsia="仿宋_GB2312" w:cs="仿宋_GB2312"/>
          <w:color w:val="auto"/>
          <w:sz w:val="32"/>
          <w:szCs w:val="32"/>
        </w:rPr>
        <w:t>通知后24小时内赶到现场处理。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七、包装、运输及储存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1.投标人必须按最新国家标准要求包装设计和提供合适的包装，确保其不受损坏。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2.物资的包装、防护要确保物资便于运输和储存，显著位置标明发货单位和地点等，并有包装储运标志。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八、供货时间及地点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rPr>
        <w:t>期望交货期：</w:t>
      </w:r>
      <w:r>
        <w:rPr>
          <w:rFonts w:hint="eastAsia" w:ascii="仿宋_GB2312" w:hAnsi="Calibri" w:eastAsia="仿宋_GB2312" w:cs="黑体"/>
          <w:sz w:val="32"/>
          <w:highlight w:val="none"/>
          <w:lang w:val="en-US" w:eastAsia="zh-CN"/>
        </w:rPr>
        <w:t>2027年7月30日前。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交货地点：淮北矿业股份有限公司仓储配送中心。</w:t>
      </w:r>
    </w:p>
    <w:p>
      <w:pPr>
        <w:rPr>
          <w:rFonts w:asciiTheme="majorEastAsia" w:hAnsiTheme="majorEastAsia" w:eastAsiaTheme="majorEastAsia"/>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OTk3NzFkM2RjMzMzOTc1MzczMzY5Zjg3ODhmMTYifQ=="/>
  </w:docVars>
  <w:rsids>
    <w:rsidRoot w:val="00295505"/>
    <w:rsid w:val="00002240"/>
    <w:rsid w:val="00004CFE"/>
    <w:rsid w:val="000715D9"/>
    <w:rsid w:val="000833A8"/>
    <w:rsid w:val="000E538C"/>
    <w:rsid w:val="000E7BF2"/>
    <w:rsid w:val="0010013B"/>
    <w:rsid w:val="00182A22"/>
    <w:rsid w:val="001B0D18"/>
    <w:rsid w:val="00222DD2"/>
    <w:rsid w:val="0029249A"/>
    <w:rsid w:val="00295505"/>
    <w:rsid w:val="002D00EC"/>
    <w:rsid w:val="00307DF1"/>
    <w:rsid w:val="003122AD"/>
    <w:rsid w:val="00345027"/>
    <w:rsid w:val="0036740B"/>
    <w:rsid w:val="003A322E"/>
    <w:rsid w:val="0045040C"/>
    <w:rsid w:val="004809D4"/>
    <w:rsid w:val="004B271A"/>
    <w:rsid w:val="004C4CA7"/>
    <w:rsid w:val="00506E99"/>
    <w:rsid w:val="005A2DA8"/>
    <w:rsid w:val="00636F6F"/>
    <w:rsid w:val="006529D9"/>
    <w:rsid w:val="006719FF"/>
    <w:rsid w:val="00680029"/>
    <w:rsid w:val="006B6CBC"/>
    <w:rsid w:val="006B7C1A"/>
    <w:rsid w:val="00731765"/>
    <w:rsid w:val="00732994"/>
    <w:rsid w:val="00740CBE"/>
    <w:rsid w:val="00741D71"/>
    <w:rsid w:val="00753587"/>
    <w:rsid w:val="00771ADC"/>
    <w:rsid w:val="007E6BF3"/>
    <w:rsid w:val="008A1247"/>
    <w:rsid w:val="008C5315"/>
    <w:rsid w:val="008D498F"/>
    <w:rsid w:val="008E2854"/>
    <w:rsid w:val="008F4A1D"/>
    <w:rsid w:val="00920A6C"/>
    <w:rsid w:val="009867B3"/>
    <w:rsid w:val="009C4B63"/>
    <w:rsid w:val="00A227B6"/>
    <w:rsid w:val="00A26A18"/>
    <w:rsid w:val="00A441AB"/>
    <w:rsid w:val="00A6404C"/>
    <w:rsid w:val="00A92E4A"/>
    <w:rsid w:val="00AC4875"/>
    <w:rsid w:val="00B342F6"/>
    <w:rsid w:val="00B455B5"/>
    <w:rsid w:val="00B62BE2"/>
    <w:rsid w:val="00B82BEA"/>
    <w:rsid w:val="00BA2C2A"/>
    <w:rsid w:val="00BA6A3E"/>
    <w:rsid w:val="00BB6172"/>
    <w:rsid w:val="00BD4741"/>
    <w:rsid w:val="00C14B91"/>
    <w:rsid w:val="00C54F20"/>
    <w:rsid w:val="00C95729"/>
    <w:rsid w:val="00D16319"/>
    <w:rsid w:val="00D347A1"/>
    <w:rsid w:val="00D61E13"/>
    <w:rsid w:val="00D77280"/>
    <w:rsid w:val="00DA6D41"/>
    <w:rsid w:val="00DB0646"/>
    <w:rsid w:val="00E07CF4"/>
    <w:rsid w:val="00E200F4"/>
    <w:rsid w:val="00E45378"/>
    <w:rsid w:val="00E60EA2"/>
    <w:rsid w:val="00E659E0"/>
    <w:rsid w:val="00E721CA"/>
    <w:rsid w:val="00E92417"/>
    <w:rsid w:val="00E95E0B"/>
    <w:rsid w:val="00EB6B76"/>
    <w:rsid w:val="00F05269"/>
    <w:rsid w:val="00F12A89"/>
    <w:rsid w:val="00F17973"/>
    <w:rsid w:val="00F22F9D"/>
    <w:rsid w:val="00F22FA7"/>
    <w:rsid w:val="00F23C3C"/>
    <w:rsid w:val="00F754F6"/>
    <w:rsid w:val="00F92DDD"/>
    <w:rsid w:val="00F959BD"/>
    <w:rsid w:val="00F970B0"/>
    <w:rsid w:val="00FB0FB5"/>
    <w:rsid w:val="00FC0A4C"/>
    <w:rsid w:val="00FC2043"/>
    <w:rsid w:val="00FF6747"/>
    <w:rsid w:val="01253372"/>
    <w:rsid w:val="014001AC"/>
    <w:rsid w:val="01787946"/>
    <w:rsid w:val="018F2EE2"/>
    <w:rsid w:val="01FC3E31"/>
    <w:rsid w:val="02071865"/>
    <w:rsid w:val="028D7BB8"/>
    <w:rsid w:val="028E3199"/>
    <w:rsid w:val="038325D2"/>
    <w:rsid w:val="045F303F"/>
    <w:rsid w:val="04917055"/>
    <w:rsid w:val="04A66578"/>
    <w:rsid w:val="05171224"/>
    <w:rsid w:val="06403160"/>
    <w:rsid w:val="06C70A28"/>
    <w:rsid w:val="07300754"/>
    <w:rsid w:val="07554285"/>
    <w:rsid w:val="07782293"/>
    <w:rsid w:val="07D956F0"/>
    <w:rsid w:val="0849203C"/>
    <w:rsid w:val="08B57A15"/>
    <w:rsid w:val="09D86447"/>
    <w:rsid w:val="09D875CF"/>
    <w:rsid w:val="09E91AC6"/>
    <w:rsid w:val="09EA33AB"/>
    <w:rsid w:val="09F93DAC"/>
    <w:rsid w:val="0A51342A"/>
    <w:rsid w:val="0BC61FE3"/>
    <w:rsid w:val="0BEE70BB"/>
    <w:rsid w:val="0C2D306D"/>
    <w:rsid w:val="0CEF1D59"/>
    <w:rsid w:val="0CF85DDF"/>
    <w:rsid w:val="0CFA3905"/>
    <w:rsid w:val="0D2941EA"/>
    <w:rsid w:val="0E402C25"/>
    <w:rsid w:val="0FAC2EB1"/>
    <w:rsid w:val="0FD03043"/>
    <w:rsid w:val="10817E99"/>
    <w:rsid w:val="113B273E"/>
    <w:rsid w:val="116379D3"/>
    <w:rsid w:val="11F44C56"/>
    <w:rsid w:val="12D54780"/>
    <w:rsid w:val="13533D6F"/>
    <w:rsid w:val="138C102F"/>
    <w:rsid w:val="14321BD6"/>
    <w:rsid w:val="14364B2C"/>
    <w:rsid w:val="150363A6"/>
    <w:rsid w:val="16656BFB"/>
    <w:rsid w:val="16E12CF7"/>
    <w:rsid w:val="1703785A"/>
    <w:rsid w:val="179901BE"/>
    <w:rsid w:val="179B7A92"/>
    <w:rsid w:val="17D46E24"/>
    <w:rsid w:val="18371EB1"/>
    <w:rsid w:val="18407B24"/>
    <w:rsid w:val="18BA3870"/>
    <w:rsid w:val="194F4FD8"/>
    <w:rsid w:val="1991739F"/>
    <w:rsid w:val="1B19569B"/>
    <w:rsid w:val="1B397375"/>
    <w:rsid w:val="1B766BE0"/>
    <w:rsid w:val="1C626DD1"/>
    <w:rsid w:val="1C872CDB"/>
    <w:rsid w:val="1CC57360"/>
    <w:rsid w:val="1CE95744"/>
    <w:rsid w:val="1D6628F1"/>
    <w:rsid w:val="1DA376A1"/>
    <w:rsid w:val="1DC13FCB"/>
    <w:rsid w:val="1E9240DD"/>
    <w:rsid w:val="1E990EF4"/>
    <w:rsid w:val="1EBC3110"/>
    <w:rsid w:val="1EE937D9"/>
    <w:rsid w:val="1F742AAF"/>
    <w:rsid w:val="233E7446"/>
    <w:rsid w:val="23CA5FCE"/>
    <w:rsid w:val="24772744"/>
    <w:rsid w:val="256736AA"/>
    <w:rsid w:val="2584425C"/>
    <w:rsid w:val="25F0544D"/>
    <w:rsid w:val="260E3B25"/>
    <w:rsid w:val="26A1499A"/>
    <w:rsid w:val="26AC4595"/>
    <w:rsid w:val="2755799F"/>
    <w:rsid w:val="275E288B"/>
    <w:rsid w:val="27B775BB"/>
    <w:rsid w:val="28F04CC7"/>
    <w:rsid w:val="292B73C6"/>
    <w:rsid w:val="29523FB3"/>
    <w:rsid w:val="29A677C7"/>
    <w:rsid w:val="2A312201"/>
    <w:rsid w:val="2C7C7A3B"/>
    <w:rsid w:val="2D4C45A1"/>
    <w:rsid w:val="2D6545C9"/>
    <w:rsid w:val="2DC55411"/>
    <w:rsid w:val="2E426A62"/>
    <w:rsid w:val="2E7B1F74"/>
    <w:rsid w:val="2EA96AE1"/>
    <w:rsid w:val="2F154177"/>
    <w:rsid w:val="302A3C52"/>
    <w:rsid w:val="30AC3F1C"/>
    <w:rsid w:val="30BD0622"/>
    <w:rsid w:val="31091AB9"/>
    <w:rsid w:val="31271F3F"/>
    <w:rsid w:val="317C228B"/>
    <w:rsid w:val="32AF5530"/>
    <w:rsid w:val="33E863EC"/>
    <w:rsid w:val="34A00986"/>
    <w:rsid w:val="357065AB"/>
    <w:rsid w:val="358160C2"/>
    <w:rsid w:val="36767BF1"/>
    <w:rsid w:val="37335AE2"/>
    <w:rsid w:val="379320DC"/>
    <w:rsid w:val="38AD71CE"/>
    <w:rsid w:val="3A58388C"/>
    <w:rsid w:val="3A717533"/>
    <w:rsid w:val="3ABD5DEE"/>
    <w:rsid w:val="3B1C5040"/>
    <w:rsid w:val="3BD46476"/>
    <w:rsid w:val="3BE64ED1"/>
    <w:rsid w:val="3C430575"/>
    <w:rsid w:val="3C6E4EC6"/>
    <w:rsid w:val="3F3E5E41"/>
    <w:rsid w:val="40322DDA"/>
    <w:rsid w:val="403C1A73"/>
    <w:rsid w:val="40884C18"/>
    <w:rsid w:val="426C1EA8"/>
    <w:rsid w:val="42E44134"/>
    <w:rsid w:val="437159C8"/>
    <w:rsid w:val="43A044FF"/>
    <w:rsid w:val="44150A49"/>
    <w:rsid w:val="44C22253"/>
    <w:rsid w:val="45240818"/>
    <w:rsid w:val="45AF4585"/>
    <w:rsid w:val="463C0ED7"/>
    <w:rsid w:val="46A75BA4"/>
    <w:rsid w:val="46D324F5"/>
    <w:rsid w:val="4734568A"/>
    <w:rsid w:val="473E6F4C"/>
    <w:rsid w:val="483B298D"/>
    <w:rsid w:val="491C63D6"/>
    <w:rsid w:val="49254E40"/>
    <w:rsid w:val="49940662"/>
    <w:rsid w:val="49DD416C"/>
    <w:rsid w:val="49E44725"/>
    <w:rsid w:val="4A2319E6"/>
    <w:rsid w:val="4A2860CA"/>
    <w:rsid w:val="4B5005B9"/>
    <w:rsid w:val="4BDC4A3D"/>
    <w:rsid w:val="4DA42E3E"/>
    <w:rsid w:val="4E095978"/>
    <w:rsid w:val="4E4D0DDF"/>
    <w:rsid w:val="4E555EE6"/>
    <w:rsid w:val="4F336227"/>
    <w:rsid w:val="4FAB6D53"/>
    <w:rsid w:val="50C7131D"/>
    <w:rsid w:val="50D00E58"/>
    <w:rsid w:val="511300BE"/>
    <w:rsid w:val="5153495F"/>
    <w:rsid w:val="51777CDB"/>
    <w:rsid w:val="51EE4687"/>
    <w:rsid w:val="52036385"/>
    <w:rsid w:val="521A1920"/>
    <w:rsid w:val="52244F2D"/>
    <w:rsid w:val="524532EE"/>
    <w:rsid w:val="52D03D8D"/>
    <w:rsid w:val="537E2514"/>
    <w:rsid w:val="53DA4EC3"/>
    <w:rsid w:val="543F741C"/>
    <w:rsid w:val="547C41CC"/>
    <w:rsid w:val="54970654"/>
    <w:rsid w:val="559E63C4"/>
    <w:rsid w:val="56705FB3"/>
    <w:rsid w:val="56BF4844"/>
    <w:rsid w:val="57392849"/>
    <w:rsid w:val="576A0974"/>
    <w:rsid w:val="59B461B6"/>
    <w:rsid w:val="5AAD1584"/>
    <w:rsid w:val="5AE96334"/>
    <w:rsid w:val="5C177036"/>
    <w:rsid w:val="5DA03C89"/>
    <w:rsid w:val="5DAF1AB3"/>
    <w:rsid w:val="5E652175"/>
    <w:rsid w:val="5E747F98"/>
    <w:rsid w:val="5E8117C9"/>
    <w:rsid w:val="5EAD3CC4"/>
    <w:rsid w:val="5FB94527"/>
    <w:rsid w:val="5FB971A7"/>
    <w:rsid w:val="5FD21144"/>
    <w:rsid w:val="5FEA0B84"/>
    <w:rsid w:val="60255718"/>
    <w:rsid w:val="6071095D"/>
    <w:rsid w:val="6121444D"/>
    <w:rsid w:val="61225110"/>
    <w:rsid w:val="61880654"/>
    <w:rsid w:val="629D5DF7"/>
    <w:rsid w:val="62C236F2"/>
    <w:rsid w:val="632B45B1"/>
    <w:rsid w:val="634E142A"/>
    <w:rsid w:val="641D1224"/>
    <w:rsid w:val="64485D56"/>
    <w:rsid w:val="648E3D43"/>
    <w:rsid w:val="64F3053C"/>
    <w:rsid w:val="65BA4B55"/>
    <w:rsid w:val="65E658BA"/>
    <w:rsid w:val="66297D75"/>
    <w:rsid w:val="66AF0431"/>
    <w:rsid w:val="66D25B39"/>
    <w:rsid w:val="66EC6F90"/>
    <w:rsid w:val="67167D84"/>
    <w:rsid w:val="673D77EB"/>
    <w:rsid w:val="676E209B"/>
    <w:rsid w:val="67F307F2"/>
    <w:rsid w:val="68143394"/>
    <w:rsid w:val="68BE3DFB"/>
    <w:rsid w:val="6A415844"/>
    <w:rsid w:val="6A4209A1"/>
    <w:rsid w:val="6A7D1633"/>
    <w:rsid w:val="6B2C2051"/>
    <w:rsid w:val="6B96396E"/>
    <w:rsid w:val="6C296590"/>
    <w:rsid w:val="6CBC5656"/>
    <w:rsid w:val="6CC01B76"/>
    <w:rsid w:val="6D06067F"/>
    <w:rsid w:val="6D9013CC"/>
    <w:rsid w:val="6DD9735D"/>
    <w:rsid w:val="6E2E7E8E"/>
    <w:rsid w:val="6E922B12"/>
    <w:rsid w:val="6EB83BFB"/>
    <w:rsid w:val="6EF966EE"/>
    <w:rsid w:val="6F6B5112"/>
    <w:rsid w:val="70366D4F"/>
    <w:rsid w:val="71CF3736"/>
    <w:rsid w:val="71D76A8E"/>
    <w:rsid w:val="72D336FA"/>
    <w:rsid w:val="730007AD"/>
    <w:rsid w:val="74485A21"/>
    <w:rsid w:val="750B71C1"/>
    <w:rsid w:val="753C7334"/>
    <w:rsid w:val="753E2F2F"/>
    <w:rsid w:val="77161C9D"/>
    <w:rsid w:val="776963DA"/>
    <w:rsid w:val="77770370"/>
    <w:rsid w:val="77DF669D"/>
    <w:rsid w:val="781520BE"/>
    <w:rsid w:val="78340796"/>
    <w:rsid w:val="78372035"/>
    <w:rsid w:val="78540210"/>
    <w:rsid w:val="78782D79"/>
    <w:rsid w:val="78F67B13"/>
    <w:rsid w:val="790A599B"/>
    <w:rsid w:val="79401932"/>
    <w:rsid w:val="7A1E16FE"/>
    <w:rsid w:val="7B0568FD"/>
    <w:rsid w:val="7C705B15"/>
    <w:rsid w:val="7EC26037"/>
    <w:rsid w:val="7F2D5F40"/>
    <w:rsid w:val="7F4219EB"/>
    <w:rsid w:val="7F460DAF"/>
    <w:rsid w:val="7F4820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
    <w:pPr>
      <w:kinsoku w:val="0"/>
      <w:overflowPunct w:val="0"/>
      <w:outlineLvl w:val="1"/>
    </w:pPr>
    <w:rPr>
      <w:rFonts w:ascii="黑体" w:hAnsi="Times New Roman" w:eastAsia="黑体" w:cs="Times New Roman"/>
      <w:b/>
      <w:bCs/>
      <w:szCs w:val="32"/>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unhideWhenUsed/>
    <w:qFormat/>
    <w:uiPriority w:val="39"/>
  </w:style>
  <w:style w:type="paragraph" w:styleId="7">
    <w:name w:val="Normal (Web)"/>
    <w:basedOn w:val="1"/>
    <w:semiHidden/>
    <w:unhideWhenUsed/>
    <w:qFormat/>
    <w:uiPriority w:val="99"/>
    <w:rPr>
      <w:sz w:val="24"/>
    </w:rPr>
  </w:style>
  <w:style w:type="character" w:styleId="10">
    <w:name w:val="Strong"/>
    <w:basedOn w:val="9"/>
    <w:qFormat/>
    <w:uiPriority w:val="22"/>
    <w:rPr>
      <w:b/>
    </w:rPr>
  </w:style>
  <w:style w:type="character" w:styleId="11">
    <w:name w:val="FollowedHyperlink"/>
    <w:basedOn w:val="9"/>
    <w:semiHidden/>
    <w:unhideWhenUsed/>
    <w:qFormat/>
    <w:uiPriority w:val="99"/>
    <w:rPr>
      <w:color w:val="800080"/>
      <w:u w:val="single"/>
    </w:rPr>
  </w:style>
  <w:style w:type="character" w:styleId="12">
    <w:name w:val="Hyperlink"/>
    <w:basedOn w:val="9"/>
    <w:semiHidden/>
    <w:unhideWhenUsed/>
    <w:qFormat/>
    <w:uiPriority w:val="99"/>
    <w:rPr>
      <w:color w:val="0000FF"/>
      <w:u w:val="single"/>
    </w:rPr>
  </w:style>
  <w:style w:type="character" w:customStyle="1" w:styleId="13">
    <w:name w:val="页眉 Char"/>
    <w:basedOn w:val="9"/>
    <w:link w:val="5"/>
    <w:qFormat/>
    <w:uiPriority w:val="99"/>
    <w:rPr>
      <w:sz w:val="18"/>
      <w:szCs w:val="18"/>
    </w:rPr>
  </w:style>
  <w:style w:type="character" w:customStyle="1" w:styleId="14">
    <w:name w:val="页脚 Char"/>
    <w:basedOn w:val="9"/>
    <w:link w:val="4"/>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5"/>
    <w:basedOn w:val="9"/>
    <w:qFormat/>
    <w:uiPriority w:val="0"/>
  </w:style>
  <w:style w:type="paragraph" w:customStyle="1" w:styleId="17">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1538</Words>
  <Characters>1774</Characters>
  <Lines>7</Lines>
  <Paragraphs>2</Paragraphs>
  <TotalTime>1</TotalTime>
  <ScaleCrop>false</ScaleCrop>
  <LinksUpToDate>false</LinksUpToDate>
  <CharactersWithSpaces>1784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2021-08-18T02:09:00Z</dcterms:created>
  <dc:creator>微软用户</dc:creator>
  <cp:lastModifiedBy>chim</cp:lastModifiedBy>
  <cp:lastPrinted>2023-12-09T06:45:00Z</cp:lastPrinted>
  <dcterms:modified xsi:type="dcterms:W3CDTF">2026-02-04T09:06:38Z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8E5E55FEC636420FBB478242402E5651_13</vt:lpwstr>
  </property>
  <property fmtid="{D5CDD505-2E9C-101B-9397-08002B2CF9AE}" pid="4" name="KSOTemplateDocerSaveRecord">
    <vt:lpwstr>eyJoZGlkIjoiNDFkYTIzY2QwMDgyNjI5ZjY2ZDBmZDE0MzMxOTFmYTUiLCJ1c2VySWQiOiI1NTA5MTYzMjkifQ==</vt:lpwstr>
  </property>
</Properties>
</file>